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1F2" w:rsidRDefault="003001F2">
      <w:pPr>
        <w:adjustRightInd w:val="0"/>
        <w:snapToGrid w:val="0"/>
        <w:spacing w:line="588" w:lineRule="exact"/>
        <w:ind w:firstLine="600"/>
        <w:rPr>
          <w:rFonts w:ascii="方正小标宋_GBK" w:eastAsia="方正小标宋_GBK" w:hAnsi="方正小标宋_GBK" w:cs="方正小标宋_GBK"/>
          <w:sz w:val="36"/>
          <w:szCs w:val="36"/>
        </w:rPr>
      </w:pPr>
    </w:p>
    <w:p w:rsidR="003001F2" w:rsidRDefault="00000000">
      <w:pPr>
        <w:adjustRightInd w:val="0"/>
        <w:snapToGrid w:val="0"/>
        <w:spacing w:line="588"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2023年第二批研究课题及研究要点</w:t>
      </w:r>
    </w:p>
    <w:p w:rsidR="003001F2" w:rsidRDefault="003001F2">
      <w:pPr>
        <w:adjustRightInd w:val="0"/>
        <w:snapToGrid w:val="0"/>
        <w:spacing w:line="588" w:lineRule="exact"/>
        <w:jc w:val="center"/>
        <w:rPr>
          <w:rFonts w:ascii="方正小标宋_GBK" w:eastAsia="方正小标宋_GBK" w:hAnsi="方正小标宋_GBK" w:cs="方正小标宋_GBK"/>
          <w:sz w:val="36"/>
          <w:szCs w:val="36"/>
        </w:rPr>
      </w:pPr>
    </w:p>
    <w:p w:rsidR="003001F2" w:rsidRDefault="00000000">
      <w:pPr>
        <w:adjustRightInd w:val="0"/>
        <w:snapToGrid w:val="0"/>
        <w:spacing w:line="588" w:lineRule="exact"/>
        <w:ind w:firstLine="600"/>
        <w:rPr>
          <w:rFonts w:ascii="方正楷体_GBK" w:eastAsia="方正楷体_GBK" w:hAnsi="方正楷体_GBK" w:cs="方正楷体_GBK"/>
          <w:sz w:val="30"/>
          <w:szCs w:val="30"/>
        </w:rPr>
      </w:pPr>
      <w:r>
        <w:rPr>
          <w:rFonts w:ascii="Times New Roman" w:eastAsia="方正楷体_GBK" w:hAnsi="Times New Roman" w:hint="eastAsia"/>
          <w:sz w:val="30"/>
          <w:szCs w:val="30"/>
        </w:rPr>
        <w:t>1</w:t>
      </w:r>
      <w:r>
        <w:rPr>
          <w:rFonts w:ascii="Times New Roman" w:eastAsia="方正楷体_GBK" w:hAnsi="Times New Roman"/>
          <w:sz w:val="30"/>
          <w:szCs w:val="30"/>
        </w:rPr>
        <w:t>、发展环境变</w:t>
      </w:r>
      <w:r>
        <w:rPr>
          <w:rFonts w:ascii="方正楷体_GBK" w:eastAsia="方正楷体_GBK" w:hAnsi="方正楷体_GBK" w:cs="方正楷体_GBK" w:hint="eastAsia"/>
          <w:sz w:val="30"/>
          <w:szCs w:val="30"/>
        </w:rPr>
        <w:t>化对“十四五”规划实施的影响研究</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Times New Roman" w:eastAsia="方正仿宋_GBK" w:hAnsi="Times New Roman" w:hint="eastAsia"/>
          <w:sz w:val="30"/>
          <w:szCs w:val="30"/>
        </w:rPr>
        <w:t>结合国际政治经济格局演进，系统梳理“十四五”以来我国发展内外部环境发生的新变化，分析其对“十四五”规划主要目标任务实施的影响，研判未来一段时期发展环境变化趋势以及可能对我国发展带来的风险挑战。</w:t>
      </w:r>
    </w:p>
    <w:p w:rsidR="003001F2" w:rsidRDefault="00000000">
      <w:pPr>
        <w:adjustRightInd w:val="0"/>
        <w:snapToGrid w:val="0"/>
        <w:spacing w:line="588" w:lineRule="exact"/>
        <w:ind w:firstLineChars="200" w:firstLine="600"/>
        <w:rPr>
          <w:rFonts w:ascii="Times New Roman" w:eastAsia="方正楷体_GBK" w:hAnsi="Times New Roman"/>
          <w:sz w:val="30"/>
          <w:szCs w:val="30"/>
        </w:rPr>
      </w:pPr>
      <w:r>
        <w:rPr>
          <w:rFonts w:ascii="Times New Roman" w:eastAsia="方正楷体_GBK" w:hAnsi="Times New Roman"/>
          <w:sz w:val="30"/>
          <w:szCs w:val="30"/>
        </w:rPr>
        <w:t>2</w:t>
      </w:r>
      <w:r>
        <w:rPr>
          <w:rFonts w:ascii="Times New Roman" w:eastAsia="方正楷体_GBK" w:hAnsi="Times New Roman"/>
          <w:sz w:val="30"/>
          <w:szCs w:val="30"/>
        </w:rPr>
        <w:t>、</w:t>
      </w:r>
      <w:r>
        <w:rPr>
          <w:rFonts w:ascii="方正楷体_GBK" w:eastAsia="方正楷体_GBK" w:hAnsi="方正楷体_GBK" w:cs="方正楷体_GBK" w:hint="eastAsia"/>
          <w:sz w:val="30"/>
          <w:szCs w:val="30"/>
        </w:rPr>
        <w:t>“十四五”以来企业技术</w:t>
      </w:r>
      <w:r>
        <w:rPr>
          <w:rFonts w:ascii="Times New Roman" w:eastAsia="方正楷体_GBK" w:hAnsi="Times New Roman"/>
          <w:sz w:val="30"/>
          <w:szCs w:val="30"/>
        </w:rPr>
        <w:t>创新能力提升情况</w:t>
      </w:r>
      <w:r>
        <w:rPr>
          <w:rFonts w:ascii="Times New Roman" w:eastAsia="方正楷体_GBK" w:hAnsi="Times New Roman" w:hint="eastAsia"/>
          <w:sz w:val="30"/>
          <w:szCs w:val="30"/>
        </w:rPr>
        <w:t>分析</w:t>
      </w:r>
      <w:r>
        <w:rPr>
          <w:rFonts w:ascii="Times New Roman" w:eastAsia="方正楷体_GBK" w:hAnsi="Times New Roman"/>
          <w:sz w:val="30"/>
          <w:szCs w:val="30"/>
        </w:rPr>
        <w:t>及下一步</w:t>
      </w:r>
      <w:r>
        <w:rPr>
          <w:rFonts w:ascii="Times New Roman" w:eastAsia="方正楷体_GBK" w:hAnsi="Times New Roman" w:hint="eastAsia"/>
          <w:sz w:val="30"/>
          <w:szCs w:val="30"/>
        </w:rPr>
        <w:t>举措</w:t>
      </w:r>
      <w:r>
        <w:rPr>
          <w:rFonts w:ascii="Times New Roman" w:eastAsia="方正楷体_GBK" w:hAnsi="Times New Roman"/>
          <w:sz w:val="30"/>
          <w:szCs w:val="30"/>
        </w:rPr>
        <w:t>研究</w:t>
      </w:r>
    </w:p>
    <w:p w:rsidR="003001F2" w:rsidRDefault="00000000">
      <w:pPr>
        <w:adjustRightInd w:val="0"/>
        <w:snapToGrid w:val="0"/>
        <w:spacing w:line="588" w:lineRule="exact"/>
        <w:ind w:firstLineChars="200" w:firstLine="600"/>
        <w:rPr>
          <w:rFonts w:ascii="方正楷体_GBK" w:eastAsia="方正楷体_GBK" w:hAnsi="方正楷体_GBK" w:cs="方正楷体_GBK"/>
          <w:sz w:val="30"/>
          <w:szCs w:val="30"/>
        </w:rPr>
      </w:pPr>
      <w:r>
        <w:rPr>
          <w:rFonts w:ascii="方正楷体_GBK" w:eastAsia="方正楷体_GBK" w:hAnsi="方正楷体_GBK" w:cs="方正楷体_GBK" w:hint="eastAsia"/>
          <w:sz w:val="30"/>
          <w:szCs w:val="30"/>
        </w:rPr>
        <w:t>研究要点：</w:t>
      </w:r>
      <w:r>
        <w:rPr>
          <w:rFonts w:ascii="方正仿宋_GBK" w:eastAsia="方正仿宋_GBK" w:hAnsi="方正仿宋_GBK" w:cs="方正仿宋_GBK" w:hint="eastAsia"/>
          <w:sz w:val="30"/>
          <w:szCs w:val="30"/>
        </w:rPr>
        <w:t>紧紧围绕“十四五”规划《纲要》明确的关于提升企业技术创新能力的部署，客观评估在激励企业加大研发投入、支持产业共性基础技术研发、完善企业创新服务体系等方面具体任务举措的贯彻落实情况，深入分析目前仍存在的问题短板，研究提出“十四五”后半期需加力的政策举措。</w:t>
      </w:r>
    </w:p>
    <w:p w:rsidR="003001F2" w:rsidRDefault="00000000">
      <w:pPr>
        <w:adjustRightInd w:val="0"/>
        <w:snapToGrid w:val="0"/>
        <w:spacing w:line="588" w:lineRule="exact"/>
        <w:ind w:firstLine="600"/>
        <w:rPr>
          <w:rFonts w:ascii="方正楷体_GBK" w:eastAsia="方正楷体_GBK" w:hAnsi="方正楷体_GBK" w:cs="方正楷体_GBK"/>
          <w:sz w:val="30"/>
          <w:szCs w:val="30"/>
        </w:rPr>
      </w:pPr>
      <w:r>
        <w:rPr>
          <w:rFonts w:ascii="Times New Roman" w:eastAsia="方正楷体_GBK" w:hAnsi="Times New Roman"/>
          <w:sz w:val="30"/>
          <w:szCs w:val="30"/>
        </w:rPr>
        <w:t>3</w:t>
      </w:r>
      <w:r>
        <w:rPr>
          <w:rFonts w:ascii="Times New Roman" w:eastAsia="方正楷体_GBK" w:hAnsi="Times New Roman"/>
          <w:sz w:val="30"/>
          <w:szCs w:val="30"/>
        </w:rPr>
        <w:t>、</w:t>
      </w:r>
      <w:r>
        <w:rPr>
          <w:rFonts w:ascii="方正楷体_GBK" w:eastAsia="方正楷体_GBK" w:hAnsi="方正楷体_GBK" w:cs="方正楷体_GBK" w:hint="eastAsia"/>
          <w:sz w:val="30"/>
          <w:szCs w:val="30"/>
        </w:rPr>
        <w:t>“十四五”以来我国产业转移情况分析及下一步举措研究</w:t>
      </w:r>
    </w:p>
    <w:p w:rsidR="003001F2" w:rsidRDefault="00000000">
      <w:pPr>
        <w:adjustRightInd w:val="0"/>
        <w:snapToGrid w:val="0"/>
        <w:spacing w:line="588" w:lineRule="exact"/>
        <w:ind w:firstLine="600"/>
        <w:rPr>
          <w:rFonts w:ascii="方正仿宋_GBK" w:eastAsia="方正仿宋_GBK" w:hAnsi="方正仿宋_GBK" w:cs="方正仿宋_GBK"/>
          <w:sz w:val="30"/>
          <w:szCs w:val="30"/>
        </w:rPr>
      </w:pPr>
      <w:r>
        <w:rPr>
          <w:rFonts w:ascii="方正楷体_GBK" w:eastAsia="方正楷体_GBK" w:hAnsi="方正楷体_GBK" w:cs="方正楷体_GBK" w:hint="eastAsia"/>
          <w:sz w:val="30"/>
          <w:szCs w:val="30"/>
        </w:rPr>
        <w:t>研究要点：</w:t>
      </w:r>
      <w:r>
        <w:rPr>
          <w:rFonts w:ascii="方正仿宋_GBK" w:eastAsia="方正仿宋_GBK" w:hAnsi="方正仿宋_GBK" w:cs="方正仿宋_GBK" w:hint="eastAsia"/>
          <w:sz w:val="30"/>
          <w:szCs w:val="30"/>
        </w:rPr>
        <w:t>梳理“十四五”以来我国产业转移的总体情况，深入研判近年来产业转移的新趋势新特征、主要原因及对经济社会发展的主要影响，区分不同产业、不同企业的特点，分类提出引导产业梯度有序转移的针对性举措。</w:t>
      </w:r>
    </w:p>
    <w:p w:rsidR="003001F2" w:rsidRDefault="00000000">
      <w:pPr>
        <w:adjustRightInd w:val="0"/>
        <w:snapToGrid w:val="0"/>
        <w:spacing w:line="588" w:lineRule="exact"/>
        <w:ind w:firstLineChars="200" w:firstLine="600"/>
        <w:rPr>
          <w:rFonts w:ascii="方正楷体_GBK" w:eastAsia="方正楷体_GBK"/>
          <w:sz w:val="30"/>
          <w:szCs w:val="30"/>
        </w:rPr>
      </w:pPr>
      <w:r>
        <w:rPr>
          <w:rFonts w:ascii="Times New Roman" w:eastAsia="方正楷体_GBK" w:hAnsi="Times New Roman"/>
          <w:sz w:val="30"/>
          <w:szCs w:val="30"/>
        </w:rPr>
        <w:t>4</w:t>
      </w:r>
      <w:r>
        <w:rPr>
          <w:rFonts w:ascii="Times New Roman" w:eastAsia="方正楷体_GBK" w:hAnsi="Times New Roman"/>
          <w:sz w:val="30"/>
          <w:szCs w:val="30"/>
        </w:rPr>
        <w:t>、</w:t>
      </w:r>
      <w:r>
        <w:rPr>
          <w:rFonts w:ascii="方正楷体_GBK" w:eastAsia="方正楷体_GBK" w:hint="eastAsia"/>
          <w:sz w:val="30"/>
          <w:szCs w:val="30"/>
        </w:rPr>
        <w:t>“十四五”以来人工智能发展态势及影响研究</w:t>
      </w:r>
    </w:p>
    <w:p w:rsidR="003001F2" w:rsidRDefault="00000000">
      <w:pPr>
        <w:adjustRightInd w:val="0"/>
        <w:snapToGrid w:val="0"/>
        <w:spacing w:line="588" w:lineRule="exact"/>
        <w:ind w:firstLineChars="200" w:firstLine="600"/>
        <w:rPr>
          <w:rFonts w:ascii="方正仿宋_GBK" w:eastAsia="方正仿宋_GBK"/>
          <w:sz w:val="30"/>
          <w:szCs w:val="30"/>
        </w:rPr>
      </w:pPr>
      <w:r>
        <w:rPr>
          <w:rFonts w:ascii="方正楷体_GBK" w:eastAsia="方正楷体_GBK" w:hint="eastAsia"/>
          <w:sz w:val="30"/>
          <w:szCs w:val="30"/>
        </w:rPr>
        <w:t>研究要点：</w:t>
      </w:r>
      <w:r>
        <w:rPr>
          <w:rFonts w:ascii="方正仿宋_GBK" w:eastAsia="方正仿宋_GBK" w:hint="eastAsia"/>
          <w:sz w:val="30"/>
          <w:szCs w:val="30"/>
        </w:rPr>
        <w:t>总结“十四五”以来全球人工智能的技术突破和产</w:t>
      </w:r>
      <w:r>
        <w:rPr>
          <w:rFonts w:ascii="方正仿宋_GBK" w:eastAsia="方正仿宋_GBK" w:hint="eastAsia"/>
          <w:sz w:val="30"/>
          <w:szCs w:val="30"/>
        </w:rPr>
        <w:lastRenderedPageBreak/>
        <w:t>业应用进展，梳理“十四五”规划《纲要》相关任务举措落实进展，分析当前我国人工智能技术和产业发展状况以及存在的短板，预判人工智能发展趋势潜力和可能带来的风险挑战，提出构建人工智能创新发展生态需要完善的基础性资源和制度框架体系。</w:t>
      </w:r>
    </w:p>
    <w:p w:rsidR="003001F2" w:rsidRDefault="00000000">
      <w:pPr>
        <w:adjustRightInd w:val="0"/>
        <w:snapToGrid w:val="0"/>
        <w:spacing w:line="588" w:lineRule="exact"/>
        <w:ind w:firstLine="600"/>
        <w:rPr>
          <w:rFonts w:ascii="方正楷体_GBK" w:eastAsia="方正楷体_GBK" w:hAnsi="方正楷体_GBK" w:cs="方正楷体_GBK"/>
          <w:sz w:val="30"/>
          <w:szCs w:val="30"/>
        </w:rPr>
      </w:pPr>
      <w:r>
        <w:rPr>
          <w:rFonts w:ascii="Times New Roman" w:eastAsia="方正楷体_GBK" w:hAnsi="Times New Roman"/>
          <w:sz w:val="30"/>
          <w:szCs w:val="30"/>
        </w:rPr>
        <w:t>5</w:t>
      </w:r>
      <w:r>
        <w:rPr>
          <w:rFonts w:ascii="Times New Roman" w:eastAsia="方正楷体_GBK" w:hAnsi="Times New Roman"/>
          <w:sz w:val="30"/>
          <w:szCs w:val="30"/>
        </w:rPr>
        <w:t>、</w:t>
      </w:r>
      <w:r>
        <w:rPr>
          <w:rFonts w:ascii="方正楷体_GBK" w:eastAsia="方正楷体_GBK" w:hAnsi="方正楷体_GBK" w:cs="方正楷体_GBK" w:hint="eastAsia"/>
          <w:sz w:val="30"/>
          <w:szCs w:val="30"/>
        </w:rPr>
        <w:t>“十四五”以来我国能源消费总量增长和结构变化的量化分析及未来趋势研究</w:t>
      </w:r>
    </w:p>
    <w:p w:rsidR="003001F2" w:rsidRDefault="00000000">
      <w:pPr>
        <w:adjustRightInd w:val="0"/>
        <w:snapToGrid w:val="0"/>
        <w:spacing w:line="588" w:lineRule="exact"/>
        <w:ind w:firstLine="600"/>
        <w:rPr>
          <w:rFonts w:ascii="方正仿宋_GBK" w:eastAsia="方正仿宋_GBK" w:hAnsi="方正仿宋_GBK" w:cs="方正仿宋_GBK"/>
          <w:sz w:val="30"/>
          <w:szCs w:val="30"/>
        </w:rPr>
      </w:pPr>
      <w:r>
        <w:rPr>
          <w:rFonts w:ascii="方正楷体_GBK" w:eastAsia="方正楷体_GBK" w:hAnsi="方正楷体_GBK" w:cs="方正楷体_GBK" w:hint="eastAsia"/>
          <w:sz w:val="30"/>
          <w:szCs w:val="30"/>
        </w:rPr>
        <w:t>研究要点：</w:t>
      </w:r>
      <w:r>
        <w:rPr>
          <w:rFonts w:ascii="方正仿宋_GBK" w:eastAsia="方正仿宋_GBK" w:hAnsi="方正仿宋_GBK" w:cs="方正仿宋_GBK" w:hint="eastAsia"/>
          <w:sz w:val="30"/>
          <w:szCs w:val="30"/>
        </w:rPr>
        <w:t>深入分析“十四五”以来能源消费的总量增长和不同能源品种的结构变化及其原因，研究测算“十四五”后半期能源消费的变动趋势以及驱动因素，结合能源供给情况提出加强和改进能源宏观治理、推动实现“十四五”相关目标指标的针对性建议。</w:t>
      </w:r>
    </w:p>
    <w:p w:rsidR="003001F2" w:rsidRDefault="00000000">
      <w:pPr>
        <w:adjustRightInd w:val="0"/>
        <w:snapToGrid w:val="0"/>
        <w:spacing w:line="588" w:lineRule="exact"/>
        <w:ind w:firstLine="600"/>
        <w:rPr>
          <w:rFonts w:ascii="方正楷体_GBK" w:eastAsia="方正楷体_GBK" w:hAnsi="方正楷体_GBK" w:cs="方正楷体_GBK"/>
          <w:sz w:val="30"/>
          <w:szCs w:val="30"/>
        </w:rPr>
      </w:pPr>
      <w:r>
        <w:rPr>
          <w:rFonts w:ascii="Times New Roman" w:eastAsia="方正楷体_GBK" w:hAnsi="Times New Roman" w:hint="eastAsia"/>
          <w:sz w:val="30"/>
          <w:szCs w:val="30"/>
        </w:rPr>
        <w:t>6</w:t>
      </w:r>
      <w:r>
        <w:rPr>
          <w:rFonts w:ascii="Times New Roman" w:eastAsia="方正楷体_GBK" w:hAnsi="Times New Roman"/>
          <w:sz w:val="30"/>
          <w:szCs w:val="30"/>
        </w:rPr>
        <w:t>、</w:t>
      </w:r>
      <w:r>
        <w:rPr>
          <w:rFonts w:ascii="方正楷体_GBK" w:eastAsia="方正楷体_GBK" w:hAnsi="方正楷体_GBK" w:cs="方正楷体_GBK" w:hint="eastAsia"/>
          <w:sz w:val="30"/>
          <w:szCs w:val="30"/>
        </w:rPr>
        <w:t>“十四五”以来生态环境质量改善的量化分析及下一步举措研究</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Times New Roman" w:eastAsia="方正仿宋_GBK" w:hAnsi="Times New Roman"/>
          <w:sz w:val="30"/>
          <w:szCs w:val="30"/>
        </w:rPr>
        <w:t>对</w:t>
      </w:r>
      <w:r>
        <w:rPr>
          <w:rFonts w:ascii="方正仿宋_GBK" w:eastAsia="方正仿宋_GBK" w:hAnsi="方正仿宋_GBK" w:cs="方正仿宋_GBK" w:hint="eastAsia"/>
          <w:sz w:val="30"/>
          <w:szCs w:val="30"/>
        </w:rPr>
        <w:t>照“十四五”规</w:t>
      </w:r>
      <w:r>
        <w:rPr>
          <w:rFonts w:ascii="Times New Roman" w:eastAsia="方正仿宋_GBK" w:hAnsi="Times New Roman"/>
          <w:sz w:val="30"/>
          <w:szCs w:val="30"/>
        </w:rPr>
        <w:t>划《纲要》明确的生态环境领域主要目标指标和重大任务举措</w:t>
      </w:r>
      <w:r>
        <w:rPr>
          <w:rFonts w:ascii="Times New Roman" w:eastAsia="方正仿宋_GBK" w:hAnsi="Times New Roman" w:hint="eastAsia"/>
          <w:sz w:val="30"/>
          <w:szCs w:val="30"/>
        </w:rPr>
        <w:t>，</w:t>
      </w:r>
      <w:r>
        <w:rPr>
          <w:rFonts w:ascii="方正仿宋_GBK" w:eastAsia="方正仿宋_GBK" w:hAnsi="方正仿宋_GBK" w:cs="方正仿宋_GBK" w:hint="eastAsia"/>
          <w:sz w:val="30"/>
          <w:szCs w:val="30"/>
        </w:rPr>
        <w:t>结合指标之间的协同联系，系统梳理和</w:t>
      </w:r>
      <w:r>
        <w:rPr>
          <w:rFonts w:ascii="Times New Roman" w:eastAsia="方正仿宋_GBK" w:hAnsi="Times New Roman"/>
          <w:sz w:val="30"/>
          <w:szCs w:val="30"/>
        </w:rPr>
        <w:t>研究</w:t>
      </w:r>
      <w:r>
        <w:rPr>
          <w:rFonts w:ascii="Times New Roman" w:eastAsia="方正仿宋_GBK" w:hAnsi="Times New Roman" w:hint="eastAsia"/>
          <w:sz w:val="30"/>
          <w:szCs w:val="30"/>
        </w:rPr>
        <w:t>“十四五”以来</w:t>
      </w:r>
      <w:r>
        <w:rPr>
          <w:rFonts w:ascii="Times New Roman" w:eastAsia="方正仿宋_GBK" w:hAnsi="Times New Roman"/>
          <w:sz w:val="30"/>
          <w:szCs w:val="30"/>
        </w:rPr>
        <w:t>相关指标</w:t>
      </w:r>
      <w:r>
        <w:rPr>
          <w:rFonts w:ascii="Times New Roman" w:eastAsia="方正仿宋_GBK" w:hAnsi="Times New Roman" w:hint="eastAsia"/>
          <w:sz w:val="30"/>
          <w:szCs w:val="30"/>
        </w:rPr>
        <w:t>和重大任务</w:t>
      </w:r>
      <w:r>
        <w:rPr>
          <w:rFonts w:ascii="Times New Roman" w:eastAsia="方正仿宋_GBK" w:hAnsi="Times New Roman"/>
          <w:sz w:val="30"/>
          <w:szCs w:val="30"/>
        </w:rPr>
        <w:t>的进展成效、存在问题及主要原因，提出下一步提升生态环境质量的务实举措。</w:t>
      </w:r>
    </w:p>
    <w:p w:rsidR="003001F2" w:rsidRDefault="00000000">
      <w:pPr>
        <w:adjustRightInd w:val="0"/>
        <w:snapToGrid w:val="0"/>
        <w:spacing w:line="588" w:lineRule="exact"/>
        <w:ind w:firstLine="600"/>
        <w:rPr>
          <w:rFonts w:ascii="方正楷体_GBK" w:eastAsia="方正楷体_GBK" w:hAnsi="方正楷体_GBK" w:cs="方正楷体_GBK"/>
          <w:sz w:val="30"/>
          <w:szCs w:val="30"/>
        </w:rPr>
      </w:pPr>
      <w:r>
        <w:rPr>
          <w:rFonts w:ascii="Times New Roman" w:eastAsia="方正楷体_GBK" w:hAnsi="Times New Roman" w:hint="eastAsia"/>
          <w:sz w:val="30"/>
          <w:szCs w:val="30"/>
        </w:rPr>
        <w:t>7</w:t>
      </w:r>
      <w:r>
        <w:rPr>
          <w:rFonts w:ascii="Times New Roman" w:eastAsia="方正楷体_GBK" w:hAnsi="Times New Roman"/>
          <w:sz w:val="30"/>
          <w:szCs w:val="30"/>
        </w:rPr>
        <w:t>、</w:t>
      </w:r>
      <w:r>
        <w:rPr>
          <w:rFonts w:ascii="方正楷体_GBK" w:eastAsia="方正楷体_GBK" w:hAnsi="方正楷体_GBK" w:cs="方正楷体_GBK" w:hint="eastAsia"/>
          <w:sz w:val="30"/>
          <w:szCs w:val="30"/>
        </w:rPr>
        <w:t>“十四五”以来我国总体就业状况评估及下一步举措研究</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Times New Roman" w:eastAsia="方正仿宋_GBK" w:hAnsi="Times New Roman" w:hint="eastAsia"/>
          <w:sz w:val="30"/>
          <w:szCs w:val="30"/>
        </w:rPr>
        <w:t>综合考虑影响就业的周期性、规模性、结构性、摩擦性等因素，以及近年来新冠肺炎疫情和外部环境影响，全面评估“十四五”以来我国总体就业状况，分析研判就业领域面临的突出问题和未来几年就业形势，结合就业与收入分配、消费等的联动影响，研究提出“十四五”后半期推动实现更充分更高质量就业的针</w:t>
      </w:r>
      <w:r>
        <w:rPr>
          <w:rFonts w:ascii="Times New Roman" w:eastAsia="方正仿宋_GBK" w:hAnsi="Times New Roman" w:hint="eastAsia"/>
          <w:sz w:val="30"/>
          <w:szCs w:val="30"/>
        </w:rPr>
        <w:lastRenderedPageBreak/>
        <w:t>对性政策举措。</w:t>
      </w:r>
    </w:p>
    <w:p w:rsidR="003001F2" w:rsidRDefault="00000000">
      <w:pPr>
        <w:adjustRightInd w:val="0"/>
        <w:snapToGrid w:val="0"/>
        <w:spacing w:line="588" w:lineRule="exact"/>
        <w:ind w:firstLine="600"/>
        <w:rPr>
          <w:rFonts w:ascii="方正楷体_GBK" w:eastAsia="方正楷体_GBK" w:hAnsi="方正楷体_GBK" w:cs="方正楷体_GBK"/>
          <w:sz w:val="30"/>
          <w:szCs w:val="30"/>
        </w:rPr>
      </w:pPr>
      <w:r>
        <w:rPr>
          <w:rFonts w:ascii="Times New Roman" w:eastAsia="方正楷体_GBK" w:hAnsi="Times New Roman"/>
          <w:sz w:val="30"/>
          <w:szCs w:val="30"/>
        </w:rPr>
        <w:t>8</w:t>
      </w:r>
      <w:r>
        <w:rPr>
          <w:rFonts w:ascii="方正楷体_GBK" w:eastAsia="方正楷体_GBK" w:hAnsi="方正楷体_GBK" w:cs="方正楷体_GBK" w:hint="eastAsia"/>
          <w:sz w:val="30"/>
          <w:szCs w:val="30"/>
        </w:rPr>
        <w:t>、适应新发展阶段人口流动的服务管理制度研究</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Times New Roman" w:eastAsia="方正仿宋_GBK" w:hAnsi="Times New Roman" w:hint="eastAsia"/>
          <w:sz w:val="30"/>
          <w:szCs w:val="30"/>
        </w:rPr>
        <w:t>分析梳理新发展阶段人口流动趋势及相关服务管理需求，针对当前人口服务管理制度的突出矛盾和问题，着眼于提高居民享有权利和服务的便利度，研究提出建立适应新发展阶段人口流动的服务管理制度的总体思路和政策举措。</w:t>
      </w:r>
    </w:p>
    <w:p w:rsidR="003001F2" w:rsidRDefault="00000000">
      <w:pPr>
        <w:adjustRightInd w:val="0"/>
        <w:snapToGrid w:val="0"/>
        <w:spacing w:line="588" w:lineRule="exact"/>
        <w:ind w:firstLine="600"/>
        <w:rPr>
          <w:rFonts w:ascii="Times New Roman" w:eastAsia="方正楷体_GBK" w:hAnsi="Times New Roman"/>
          <w:sz w:val="30"/>
          <w:szCs w:val="30"/>
        </w:rPr>
      </w:pPr>
      <w:r>
        <w:rPr>
          <w:rFonts w:ascii="Times New Roman" w:eastAsia="方正楷体_GBK" w:hAnsi="Times New Roman"/>
          <w:sz w:val="30"/>
          <w:szCs w:val="30"/>
        </w:rPr>
        <w:t>9</w:t>
      </w:r>
      <w:r>
        <w:rPr>
          <w:rFonts w:ascii="Times New Roman" w:eastAsia="方正楷体_GBK" w:hAnsi="Times New Roman"/>
          <w:sz w:val="30"/>
          <w:szCs w:val="30"/>
        </w:rPr>
        <w:t>、农业转移人口在常住地享有基本公共服务研究</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Times New Roman" w:eastAsia="方正仿宋_GBK" w:hAnsi="Times New Roman" w:hint="eastAsia"/>
          <w:sz w:val="30"/>
          <w:szCs w:val="30"/>
        </w:rPr>
        <w:t>全面梳理分析农业转移人口在常住地难以享有的基本公共服务项目及背后的体制机制阻碍，基于各地区人口变动趋势和基本公共服务供给能力变化，研究提出推动农业转移人口在常住地全面享有基本公共服务的政策举措建议。</w:t>
      </w:r>
    </w:p>
    <w:p w:rsidR="003001F2" w:rsidRDefault="00000000">
      <w:pPr>
        <w:adjustRightInd w:val="0"/>
        <w:snapToGrid w:val="0"/>
        <w:spacing w:line="588" w:lineRule="exact"/>
        <w:ind w:firstLineChars="200" w:firstLine="600"/>
        <w:textAlignment w:val="baseline"/>
        <w:rPr>
          <w:rFonts w:ascii="方正楷体_GBK" w:eastAsia="方正楷体_GBK" w:hAnsi="方正楷体_GBK" w:cs="方正楷体_GBK"/>
          <w:sz w:val="30"/>
          <w:szCs w:val="30"/>
        </w:rPr>
      </w:pPr>
      <w:r>
        <w:rPr>
          <w:rFonts w:ascii="Times New Roman" w:eastAsia="方正楷体_GBK" w:hAnsi="Times New Roman" w:hint="eastAsia"/>
          <w:sz w:val="30"/>
          <w:szCs w:val="30"/>
        </w:rPr>
        <w:t>10</w:t>
      </w:r>
      <w:r>
        <w:rPr>
          <w:rFonts w:ascii="方正楷体_GBK" w:eastAsia="方正楷体_GBK" w:hAnsi="方正楷体_GBK" w:cs="方正楷体_GBK" w:hint="eastAsia"/>
          <w:sz w:val="30"/>
          <w:szCs w:val="30"/>
        </w:rPr>
        <w:t>、增强内外开放协调性研究</w:t>
      </w:r>
    </w:p>
    <w:p w:rsidR="003001F2" w:rsidRDefault="00000000">
      <w:pPr>
        <w:adjustRightInd w:val="0"/>
        <w:snapToGrid w:val="0"/>
        <w:spacing w:line="588" w:lineRule="exact"/>
        <w:ind w:firstLineChars="200" w:firstLine="600"/>
        <w:jc w:val="left"/>
        <w:textAlignment w:val="baseline"/>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方正仿宋_GBK" w:eastAsia="方正仿宋_GBK" w:hAnsi="方正仿宋_GBK" w:cs="方正仿宋_GBK" w:hint="eastAsia"/>
          <w:sz w:val="30"/>
          <w:szCs w:val="30"/>
        </w:rPr>
        <w:t>着眼构建以国内大循环为主体、国内国际双循环相互促进的新发展格局，系统梳理“十四五”以来我国在协调推进对外开放和对内开放、推动区域重大战略与高质量扩大开放深度融合等方面取得的成效，深入分析存在的突出问题，</w:t>
      </w:r>
      <w:r>
        <w:rPr>
          <w:rFonts w:ascii="Times New Roman" w:eastAsia="方正仿宋_GBK" w:hAnsi="Times New Roman" w:hint="eastAsia"/>
          <w:sz w:val="30"/>
          <w:szCs w:val="30"/>
        </w:rPr>
        <w:t>研究提出增强内外开放协调性的针对性政策举措。</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Times New Roman" w:eastAsia="方正仿宋_GBK" w:hAnsi="Times New Roman" w:hint="eastAsia"/>
          <w:sz w:val="30"/>
          <w:szCs w:val="30"/>
        </w:rPr>
        <w:t>11</w:t>
      </w:r>
      <w:r>
        <w:rPr>
          <w:rFonts w:ascii="Times New Roman" w:eastAsia="方正仿宋_GBK" w:hAnsi="Times New Roman" w:hint="eastAsia"/>
          <w:sz w:val="30"/>
          <w:szCs w:val="30"/>
        </w:rPr>
        <w:t>、</w:t>
      </w:r>
      <w:r>
        <w:rPr>
          <w:rFonts w:ascii="Times New Roman" w:eastAsia="方正楷体_GBK" w:hAnsi="Times New Roman"/>
          <w:sz w:val="30"/>
          <w:szCs w:val="30"/>
        </w:rPr>
        <w:t>构建中国式现代化指标体系研究</w:t>
      </w:r>
    </w:p>
    <w:p w:rsidR="003001F2" w:rsidRDefault="00000000">
      <w:pPr>
        <w:adjustRightInd w:val="0"/>
        <w:snapToGrid w:val="0"/>
        <w:spacing w:line="588" w:lineRule="exact"/>
        <w:ind w:firstLine="600"/>
        <w:rPr>
          <w:rFonts w:ascii="Times New Roman" w:eastAsia="方正仿宋_GBK" w:hAnsi="Times New Roman"/>
          <w:sz w:val="30"/>
          <w:szCs w:val="30"/>
        </w:rPr>
      </w:pPr>
      <w:r>
        <w:rPr>
          <w:rFonts w:ascii="方正楷体_GBK" w:eastAsia="方正楷体_GBK" w:hAnsi="方正楷体_GBK" w:cs="方正楷体_GBK" w:hint="eastAsia"/>
          <w:sz w:val="30"/>
          <w:szCs w:val="30"/>
        </w:rPr>
        <w:t>研究要点：</w:t>
      </w:r>
      <w:r>
        <w:rPr>
          <w:rFonts w:ascii="方正仿宋_GBK" w:eastAsia="方正仿宋_GBK" w:hAnsi="方正仿宋_GBK" w:cs="方正仿宋_GBK" w:hint="eastAsia"/>
          <w:sz w:val="30"/>
          <w:szCs w:val="30"/>
        </w:rPr>
        <w:t>基于中国式现代化的理论分析、内涵研究，对我国现代化发展水平进行系统阐释和客观衡量，</w:t>
      </w:r>
      <w:r>
        <w:rPr>
          <w:rFonts w:ascii="Times New Roman" w:eastAsia="方正仿宋_GBK" w:hAnsi="Times New Roman"/>
          <w:sz w:val="30"/>
          <w:szCs w:val="30"/>
        </w:rPr>
        <w:t>着眼于</w:t>
      </w:r>
      <w:r>
        <w:rPr>
          <w:rFonts w:ascii="Times New Roman" w:eastAsia="方正仿宋_GBK" w:hAnsi="Times New Roman"/>
          <w:sz w:val="30"/>
          <w:szCs w:val="30"/>
        </w:rPr>
        <w:t>2035</w:t>
      </w:r>
      <w:r>
        <w:rPr>
          <w:rFonts w:ascii="Times New Roman" w:eastAsia="方正仿宋_GBK" w:hAnsi="Times New Roman"/>
          <w:sz w:val="30"/>
          <w:szCs w:val="30"/>
        </w:rPr>
        <w:t>年基本实现社会主义现代化和</w:t>
      </w:r>
      <w:r>
        <w:rPr>
          <w:rFonts w:ascii="Times New Roman" w:eastAsia="方正仿宋_GBK" w:hAnsi="Times New Roman"/>
          <w:sz w:val="30"/>
          <w:szCs w:val="30"/>
        </w:rPr>
        <w:t>2050</w:t>
      </w:r>
      <w:r>
        <w:rPr>
          <w:rFonts w:ascii="Times New Roman" w:eastAsia="方正仿宋_GBK" w:hAnsi="Times New Roman"/>
          <w:sz w:val="30"/>
          <w:szCs w:val="30"/>
        </w:rPr>
        <w:t>年全面建成社会主义</w:t>
      </w:r>
      <w:r>
        <w:rPr>
          <w:rFonts w:ascii="方正仿宋_GBK" w:eastAsia="方正仿宋_GBK" w:hAnsi="方正仿宋_GBK" w:cs="方正仿宋_GBK" w:hint="eastAsia"/>
          <w:sz w:val="30"/>
          <w:szCs w:val="30"/>
        </w:rPr>
        <w:t>现代化强国总体目标，从全面性、系统性及可操作性出发，研究提出符合中国式现代</w:t>
      </w:r>
      <w:r>
        <w:rPr>
          <w:rFonts w:ascii="方正仿宋_GBK" w:eastAsia="方正仿宋_GBK" w:hAnsi="方正仿宋_GBK" w:cs="方正仿宋_GBK" w:hint="eastAsia"/>
          <w:sz w:val="30"/>
          <w:szCs w:val="30"/>
        </w:rPr>
        <w:lastRenderedPageBreak/>
        <w:t>化基本特征和本质要求的评价指标体系</w:t>
      </w:r>
      <w:r>
        <w:rPr>
          <w:rFonts w:ascii="Times New Roman" w:eastAsia="方正仿宋_GBK" w:hAnsi="Times New Roman"/>
          <w:sz w:val="30"/>
          <w:szCs w:val="30"/>
        </w:rPr>
        <w:t>。</w:t>
      </w:r>
    </w:p>
    <w:p w:rsidR="003001F2" w:rsidRDefault="00000000">
      <w:pPr>
        <w:adjustRightInd w:val="0"/>
        <w:snapToGrid w:val="0"/>
        <w:spacing w:line="588" w:lineRule="exact"/>
        <w:ind w:firstLineChars="200" w:firstLine="600"/>
        <w:rPr>
          <w:rFonts w:ascii="方正楷体_GBK" w:eastAsia="方正楷体_GBK"/>
          <w:sz w:val="30"/>
          <w:szCs w:val="30"/>
        </w:rPr>
      </w:pPr>
      <w:r>
        <w:rPr>
          <w:rFonts w:ascii="Times New Roman" w:eastAsia="方正楷体_GBK" w:hAnsi="Times New Roman" w:hint="eastAsia"/>
          <w:sz w:val="30"/>
          <w:szCs w:val="30"/>
        </w:rPr>
        <w:t>12</w:t>
      </w:r>
      <w:r>
        <w:rPr>
          <w:rFonts w:ascii="Times New Roman" w:eastAsia="方正楷体_GBK" w:hAnsi="Times New Roman"/>
          <w:sz w:val="30"/>
          <w:szCs w:val="30"/>
        </w:rPr>
        <w:t>、</w:t>
      </w:r>
      <w:r>
        <w:rPr>
          <w:rFonts w:ascii="方正楷体_GBK" w:eastAsia="方正楷体_GBK" w:hint="eastAsia"/>
          <w:sz w:val="30"/>
          <w:szCs w:val="30"/>
        </w:rPr>
        <w:t>完善新发展阶段产业政策的思路和举措研究</w:t>
      </w:r>
    </w:p>
    <w:p w:rsidR="00D96649" w:rsidRDefault="00000000" w:rsidP="00A33E5F">
      <w:pPr>
        <w:adjustRightInd w:val="0"/>
        <w:snapToGrid w:val="0"/>
        <w:spacing w:line="588" w:lineRule="exact"/>
        <w:ind w:firstLineChars="200" w:firstLine="600"/>
      </w:pPr>
      <w:r>
        <w:rPr>
          <w:rFonts w:ascii="方正楷体_GBK" w:eastAsia="方正楷体_GBK" w:hAnsi="Times New Roman" w:hint="eastAsia"/>
          <w:sz w:val="30"/>
          <w:szCs w:val="30"/>
        </w:rPr>
        <w:t>研究要点：</w:t>
      </w:r>
      <w:r>
        <w:rPr>
          <w:rFonts w:ascii="方正仿宋_GBK" w:eastAsia="方正仿宋_GBK" w:hint="eastAsia"/>
          <w:sz w:val="30"/>
          <w:szCs w:val="30"/>
        </w:rPr>
        <w:t>全面梳理当前我国产业政策的实施情况，深入分析存在的问题及原因，立足新发展阶段的新形势新要求，围绕维护产业安全、强化战略性领域顶层设计、增强产业政策协同性精准性等，研究提出完善产业政策的思路和举措。</w:t>
      </w:r>
    </w:p>
    <w:sectPr w:rsidR="00D96649" w:rsidSect="00A33E5F">
      <w:footerReference w:type="default" r:id="rId6"/>
      <w:pgSz w:w="11906" w:h="16838"/>
      <w:pgMar w:top="1985" w:right="1616" w:bottom="1814" w:left="161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355B" w:rsidRDefault="0062355B">
      <w:r>
        <w:separator/>
      </w:r>
    </w:p>
  </w:endnote>
  <w:endnote w:type="continuationSeparator" w:id="0">
    <w:p w:rsidR="0062355B" w:rsidRDefault="0062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roman"/>
    <w:pitch w:val="default"/>
    <w:sig w:usb0="E7006EFF" w:usb1="D200FDFF" w:usb2="0A246029" w:usb3="0400200C" w:csb0="600001FF" w:csb1="DFFF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1F2" w:rsidRDefault="008E77D1">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0" b="0"/>
              <wp:wrapNone/>
              <wp:docPr id="26998659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3001F2" w:rsidRDefault="00000000">
                          <w:pPr>
                            <w:pStyle w:val="a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rsidR="003001F2" w:rsidRDefault="00000000">
                    <w:pPr>
                      <w:pStyle w:val="a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355B" w:rsidRDefault="0062355B">
      <w:r>
        <w:separator/>
      </w:r>
    </w:p>
  </w:footnote>
  <w:footnote w:type="continuationSeparator" w:id="0">
    <w:p w:rsidR="0062355B" w:rsidRDefault="00623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D1"/>
    <w:rsid w:val="FFFB0107"/>
    <w:rsid w:val="FFFBD7C5"/>
    <w:rsid w:val="FFFF80B4"/>
    <w:rsid w:val="003001F2"/>
    <w:rsid w:val="003D5C69"/>
    <w:rsid w:val="0062355B"/>
    <w:rsid w:val="008E77D1"/>
    <w:rsid w:val="00A33E5F"/>
    <w:rsid w:val="00D96649"/>
    <w:rsid w:val="0FF7F6B6"/>
    <w:rsid w:val="1EA580CC"/>
    <w:rsid w:val="1FFEB081"/>
    <w:rsid w:val="2EFDF53D"/>
    <w:rsid w:val="2F5E3B2E"/>
    <w:rsid w:val="376FBF92"/>
    <w:rsid w:val="3BBF3CB7"/>
    <w:rsid w:val="3EAB0813"/>
    <w:rsid w:val="4FFF55C9"/>
    <w:rsid w:val="537DC45A"/>
    <w:rsid w:val="5CD51983"/>
    <w:rsid w:val="5F5FD0FB"/>
    <w:rsid w:val="5F7F36C2"/>
    <w:rsid w:val="67FB2B45"/>
    <w:rsid w:val="6EDFAF34"/>
    <w:rsid w:val="77F7BE00"/>
    <w:rsid w:val="79CF8E25"/>
    <w:rsid w:val="79D2E3EB"/>
    <w:rsid w:val="7A7F491D"/>
    <w:rsid w:val="7B7F39BF"/>
    <w:rsid w:val="7BFF4FAF"/>
    <w:rsid w:val="7CF82DF0"/>
    <w:rsid w:val="7DE7BE8E"/>
    <w:rsid w:val="7DFC74C8"/>
    <w:rsid w:val="7FE48205"/>
    <w:rsid w:val="7FEFAF24"/>
    <w:rsid w:val="9FF91B2C"/>
    <w:rsid w:val="A5EE967F"/>
    <w:rsid w:val="ADBDBCE0"/>
    <w:rsid w:val="AF1FB7C0"/>
    <w:rsid w:val="B7CF19EE"/>
    <w:rsid w:val="B7FA92E3"/>
    <w:rsid w:val="D5F7AF42"/>
    <w:rsid w:val="D5FDE36F"/>
    <w:rsid w:val="D7FEBC55"/>
    <w:rsid w:val="DDF70183"/>
    <w:rsid w:val="DFFD87A4"/>
    <w:rsid w:val="E579C2A3"/>
    <w:rsid w:val="E67D03AA"/>
    <w:rsid w:val="EB7F8065"/>
    <w:rsid w:val="EBDF5E16"/>
    <w:rsid w:val="EED3C5F3"/>
    <w:rsid w:val="F27BE228"/>
    <w:rsid w:val="F3E1A004"/>
    <w:rsid w:val="F6DE4F7B"/>
    <w:rsid w:val="F7D59F1A"/>
    <w:rsid w:val="F7FF656E"/>
    <w:rsid w:val="FABB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83F828-9EAF-48AF-B077-968A8FBB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jia</cp:lastModifiedBy>
  <cp:revision>5</cp:revision>
  <cp:lastPrinted>2023-05-12T01:11:00Z</cp:lastPrinted>
  <dcterms:created xsi:type="dcterms:W3CDTF">2023-05-12T00:51:00Z</dcterms:created>
  <dcterms:modified xsi:type="dcterms:W3CDTF">2023-05-12T00:57:00Z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